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D7ED9" w:rsidRDefault="002D7ED9" w:rsidP="002D7E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4D1D8" wp14:editId="50932E00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5CB6" w:rsidRDefault="00085CB6" w:rsidP="00085CB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УТВЕРЖДЕНО:</w:t>
                            </w:r>
                          </w:p>
                          <w:p w:rsidR="00085CB6" w:rsidRDefault="00085CB6" w:rsidP="00085CB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Председатель УМС</w:t>
                            </w:r>
                          </w:p>
                          <w:p w:rsidR="00085CB6" w:rsidRDefault="00085CB6" w:rsidP="00085CB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Факультета искусств</w:t>
                            </w:r>
                          </w:p>
                          <w:p w:rsidR="00085CB6" w:rsidRDefault="00085CB6" w:rsidP="00085CB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Гуров М.Б.</w:t>
                            </w:r>
                          </w:p>
                          <w:p w:rsidR="00E24BF8" w:rsidRDefault="00E24BF8" w:rsidP="002D7ED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4D1D8" id="Rectangle 14" o:spid="_x0000_s1026" style="position:absolute;left:0;text-align:left;margin-left:200.7pt;margin-top:7.05pt;width:262.2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085CB6" w:rsidRDefault="00085CB6" w:rsidP="00085CB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УТВЕРЖДЕНО:</w:t>
                      </w:r>
                    </w:p>
                    <w:p w:rsidR="00085CB6" w:rsidRDefault="00085CB6" w:rsidP="00085CB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Председатель УМС</w:t>
                      </w:r>
                    </w:p>
                    <w:p w:rsidR="00085CB6" w:rsidRDefault="00085CB6" w:rsidP="00085CB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Факультета искусств</w:t>
                      </w:r>
                    </w:p>
                    <w:p w:rsidR="00085CB6" w:rsidRDefault="00085CB6" w:rsidP="00085CB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Гуров М.Б.</w:t>
                      </w:r>
                    </w:p>
                    <w:p w:rsidR="00E24BF8" w:rsidRDefault="00E24BF8" w:rsidP="002D7ED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2D7ED9" w:rsidRDefault="002D7ED9" w:rsidP="002D7ED9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88A5F" wp14:editId="14C12639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A9593" id="Rectangle 8" o:spid="_x0000_s1026" style="position:absolute;margin-left:114.1pt;margin-top:12.5pt;width:340.8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2D7ED9" w:rsidRDefault="002D7ED9" w:rsidP="002D7ED9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РАБОЧАЯ ПРОГРАММА ДИСЦИПЛИНЫ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права и государственной культурной политики </w:t>
      </w:r>
    </w:p>
    <w:p w:rsidR="002D7ED9" w:rsidRPr="002D7ED9" w:rsidRDefault="002D7ED9" w:rsidP="002D7ED9">
      <w:pPr>
        <w:spacing w:after="16" w:line="244" w:lineRule="auto"/>
        <w:ind w:left="14" w:right="93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Российской Федерации</w:t>
      </w:r>
    </w:p>
    <w:p w:rsidR="002D7ED9" w:rsidRDefault="002D7ED9" w:rsidP="002D7ED9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2D7ED9" w:rsidRPr="005973F0" w:rsidRDefault="00E24BF8" w:rsidP="002D7ED9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СПЕЦИАЛЬНОСТЬ</w:t>
      </w:r>
    </w:p>
    <w:p w:rsidR="00CF5E3D" w:rsidRPr="00E24BF8" w:rsidRDefault="00E24BF8" w:rsidP="00CF5E3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>52.05.01 АКТЕРСКОЕ ИСКУССТВО</w:t>
      </w:r>
    </w:p>
    <w:p w:rsidR="00CF5E3D" w:rsidRPr="005973F0" w:rsidRDefault="00CF5E3D" w:rsidP="00CF5E3D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СПЕЦИАЛИЗАЦИЯ</w:t>
      </w:r>
    </w:p>
    <w:p w:rsidR="00CF5E3D" w:rsidRPr="00E24BF8" w:rsidRDefault="00E24BF8" w:rsidP="00CF5E3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>Артист драматического театра и кино</w:t>
      </w:r>
    </w:p>
    <w:p w:rsidR="00CF5E3D" w:rsidRPr="005973F0" w:rsidRDefault="00CF5E3D" w:rsidP="00CF5E3D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 xml:space="preserve">КВАЛИФИКАЦИЯ </w:t>
      </w:r>
    </w:p>
    <w:p w:rsidR="00E24BF8" w:rsidRDefault="00E24BF8" w:rsidP="002D7ED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24BF8">
        <w:rPr>
          <w:rFonts w:ascii="Times New Roman" w:hAnsi="Times New Roman"/>
          <w:b/>
          <w:bCs/>
          <w:sz w:val="28"/>
          <w:szCs w:val="28"/>
        </w:rPr>
        <w:t xml:space="preserve">Артист драматического театра и кино 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ФОРМА ОБУЧЕНИЯ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ОЧНАЯ, ЗАОЧНАЯ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 xml:space="preserve">(РПД адаптирована для лиц 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5041AB" w:rsidRDefault="005041AB" w:rsidP="002D7ED9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E22883" w:rsidRDefault="00E22883" w:rsidP="002D7ED9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63E14" w:rsidRPr="00E44C64" w:rsidRDefault="00963E14" w:rsidP="00963E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lastRenderedPageBreak/>
        <w:t>Цель:</w:t>
      </w:r>
      <w:r>
        <w:rPr>
          <w:rFonts w:ascii="Times New Roman" w:eastAsia="Times New Roman" w:hAnsi="Times New Roman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формирование профессиональной позиции обучающихся по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современным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функциям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принципам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культурной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РФ,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овладение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научными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основами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внедрения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перспективных социокультурных направлений в практику отраслевых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        </w:t>
      </w:r>
      <w:r w:rsidRPr="00E44C64">
        <w:rPr>
          <w:rFonts w:ascii="Times New Roman" w:eastAsia="Times New Roman" w:hAnsi="Times New Roman"/>
          <w:sz w:val="24"/>
        </w:rPr>
        <w:t>органов управления и</w:t>
      </w:r>
      <w:r w:rsidRPr="00E44C64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учреждений.</w:t>
      </w:r>
    </w:p>
    <w:p w:rsidR="00963E14" w:rsidRPr="00E44C64" w:rsidRDefault="00963E14" w:rsidP="00963E1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/>
          <w:sz w:val="24"/>
        </w:rPr>
      </w:pPr>
      <w:r w:rsidRPr="00E44C64">
        <w:rPr>
          <w:rFonts w:ascii="Times New Roman" w:eastAsia="Times New Roman" w:hAnsi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/>
          <w:sz w:val="24"/>
        </w:rPr>
        <w:t xml:space="preserve"> сформировать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обучающихся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комплексное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представление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об 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основных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н</w:t>
      </w:r>
      <w:r w:rsidRPr="00E44C64">
        <w:rPr>
          <w:rFonts w:ascii="Times New Roman" w:eastAsia="Times New Roman" w:hAnsi="Times New Roman"/>
          <w:sz w:val="24"/>
        </w:rPr>
        <w:t>аправлениях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государственного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регулирования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отраслях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Федерации; изучить законодательные основы органов государственной власти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</w:t>
      </w:r>
      <w:r w:rsidRPr="00E44C64">
        <w:rPr>
          <w:rFonts w:ascii="Times New Roman" w:eastAsia="Times New Roman" w:hAnsi="Times New Roman"/>
          <w:spacing w:val="-3"/>
          <w:sz w:val="24"/>
        </w:rPr>
        <w:t xml:space="preserve">; </w:t>
      </w:r>
      <w:r w:rsidRPr="00E44C64">
        <w:rPr>
          <w:rFonts w:ascii="Times New Roman" w:eastAsia="Times New Roman" w:hAnsi="Times New Roman"/>
          <w:sz w:val="24"/>
        </w:rPr>
        <w:t>определить</w:t>
      </w:r>
      <w:r w:rsidRPr="00E44C64">
        <w:rPr>
          <w:rFonts w:ascii="Times New Roman" w:eastAsia="Times New Roman" w:hAnsi="Times New Roman"/>
          <w:sz w:val="24"/>
        </w:rPr>
        <w:tab/>
        <w:t xml:space="preserve">специфику  </w:t>
      </w:r>
      <w:r w:rsidRPr="00E44C64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управленческой  </w:t>
      </w:r>
      <w:r w:rsidRPr="00E44C64">
        <w:rPr>
          <w:rFonts w:ascii="Times New Roman" w:eastAsia="Times New Roman" w:hAnsi="Times New Roman"/>
          <w:spacing w:val="1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деятельности в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сфере 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культуры,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искусства,</w:t>
      </w:r>
      <w:r w:rsidRPr="00E44C64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</w:t>
      </w:r>
      <w:r w:rsidRPr="00E44C64">
        <w:rPr>
          <w:rFonts w:ascii="Times New Roman" w:eastAsia="Times New Roman" w:hAnsi="Times New Roman"/>
          <w:spacing w:val="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культурного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наследия.</w:t>
      </w:r>
    </w:p>
    <w:p w:rsidR="00925D82" w:rsidRDefault="00925D82" w:rsidP="00925D82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925D82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ВО</w:t>
      </w:r>
    </w:p>
    <w:p w:rsidR="00E22883" w:rsidRDefault="00E650D4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Дисциплина «Основы права и государственной культурной политики </w:t>
      </w:r>
      <w:r w:rsidRPr="00002038">
        <w:rPr>
          <w:rFonts w:ascii="Times New Roman" w:hAnsi="Times New Roman"/>
          <w:sz w:val="24"/>
          <w:szCs w:val="24"/>
          <w:lang w:eastAsia="ru-RU"/>
        </w:rPr>
        <w:t>РФ» входит в состав Блока 1 «Дисциплины (модули) и относится к обязательной части ОПОП</w:t>
      </w:r>
      <w:r w:rsidR="00E22883">
        <w:rPr>
          <w:rFonts w:ascii="Times New Roman" w:hAnsi="Times New Roman"/>
          <w:bCs/>
          <w:sz w:val="24"/>
          <w:szCs w:val="24"/>
        </w:rPr>
        <w:t xml:space="preserve">. Дисциплина изучается в </w:t>
      </w:r>
      <w:r w:rsidR="00925D82">
        <w:rPr>
          <w:rFonts w:ascii="Times New Roman" w:hAnsi="Times New Roman"/>
          <w:bCs/>
          <w:sz w:val="24"/>
          <w:szCs w:val="24"/>
        </w:rPr>
        <w:t>6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bCs/>
          <w:sz w:val="24"/>
          <w:szCs w:val="24"/>
        </w:rPr>
        <w:t xml:space="preserve">семестре для очной </w:t>
      </w:r>
      <w:r w:rsidR="00925D82">
        <w:rPr>
          <w:rFonts w:ascii="Times New Roman" w:hAnsi="Times New Roman"/>
          <w:bCs/>
          <w:sz w:val="24"/>
          <w:szCs w:val="24"/>
        </w:rPr>
        <w:t xml:space="preserve">и </w:t>
      </w:r>
      <w:r w:rsidR="00E22883">
        <w:rPr>
          <w:rFonts w:ascii="Times New Roman" w:hAnsi="Times New Roman"/>
          <w:bCs/>
          <w:sz w:val="24"/>
          <w:szCs w:val="24"/>
        </w:rPr>
        <w:t>заочн</w:t>
      </w:r>
      <w:r w:rsidR="00925D82">
        <w:rPr>
          <w:rFonts w:ascii="Times New Roman" w:hAnsi="Times New Roman"/>
          <w:bCs/>
          <w:sz w:val="24"/>
          <w:szCs w:val="24"/>
        </w:rPr>
        <w:t>ой</w:t>
      </w:r>
      <w:r w:rsidR="00E22883">
        <w:rPr>
          <w:rFonts w:ascii="Times New Roman" w:hAnsi="Times New Roman"/>
          <w:bCs/>
          <w:sz w:val="24"/>
          <w:szCs w:val="24"/>
        </w:rPr>
        <w:t xml:space="preserve"> форм обучения.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 w:rsidR="00E22883"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 w:rsidR="00E22883">
        <w:rPr>
          <w:rFonts w:ascii="Times New Roman" w:hAnsi="Times New Roman"/>
          <w:sz w:val="24"/>
          <w:szCs w:val="24"/>
          <w:lang w:eastAsia="ru-RU"/>
        </w:rPr>
        <w:t>способствует углубленной подготовке студентов к изучению последующих дисциплин: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Современный театр</w:t>
      </w:r>
      <w:r w:rsidR="00E22883">
        <w:rPr>
          <w:rFonts w:ascii="Times New Roman" w:hAnsi="Times New Roman"/>
          <w:sz w:val="24"/>
          <w:szCs w:val="24"/>
          <w:lang w:eastAsia="ru-RU"/>
        </w:rPr>
        <w:t>»</w:t>
      </w:r>
      <w:r w:rsidR="00925D82">
        <w:rPr>
          <w:rFonts w:ascii="Times New Roman" w:hAnsi="Times New Roman"/>
          <w:sz w:val="24"/>
          <w:szCs w:val="24"/>
          <w:lang w:eastAsia="ru-RU"/>
        </w:rPr>
        <w:t>,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Актерское мастерство</w:t>
      </w:r>
      <w:r w:rsidR="00825042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и др. </w:t>
      </w:r>
      <w:r w:rsidR="00E22883"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 w:rsidR="00E22883">
        <w:rPr>
          <w:rFonts w:ascii="Times New Roman" w:hAnsi="Times New Roman"/>
          <w:sz w:val="24"/>
          <w:szCs w:val="24"/>
        </w:rPr>
        <w:t>. Форма контроля – зачет.</w:t>
      </w:r>
    </w:p>
    <w:p w:rsidR="00925D82" w:rsidRDefault="00925D82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</w:t>
      </w:r>
    </w:p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компетенции обучающегося.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533"/>
        <w:gridCol w:w="4871"/>
      </w:tblGrid>
      <w:tr w:rsidR="00E22883" w:rsidTr="00925D82">
        <w:trPr>
          <w:trHeight w:val="576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24BF8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1C3" w:rsidRPr="002561C3" w:rsidRDefault="002561C3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 xml:space="preserve">УК-10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 xml:space="preserve">УК-10.2. Планирует, организует и </w:t>
            </w:r>
            <w:r w:rsidRPr="002561C3">
              <w:lastRenderedPageBreak/>
              <w:t>проводит мероприятия, обеспечивающие формирование гражданской позиции и предотвращение коррупции в обществе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  <w:b/>
              </w:rPr>
            </w:pPr>
            <w:r w:rsidRPr="002561C3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Уметь:</w:t>
            </w:r>
            <w:r w:rsidRPr="002561C3">
              <w:rPr>
                <w:rFonts w:ascii="Times New Roman" w:hAnsi="Times New Roman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Владеть:</w:t>
            </w:r>
            <w:r w:rsidRPr="002561C3">
              <w:rPr>
                <w:rFonts w:ascii="Times New Roman" w:hAnsi="Times New Roman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</w:t>
            </w:r>
            <w:r w:rsidRPr="002561C3">
              <w:rPr>
                <w:rFonts w:ascii="Times New Roman" w:hAnsi="Times New Roman"/>
              </w:rPr>
              <w:lastRenderedPageBreak/>
              <w:t>правовой квалификацией коррупционного поведения и его пресечения</w:t>
            </w:r>
          </w:p>
        </w:tc>
      </w:tr>
      <w:tr w:rsidR="002561C3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ОПК-5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Знать: </w:t>
            </w:r>
            <w:r>
              <w:t>основы и принципы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22883" w:rsidRDefault="005677B4" w:rsidP="00E22883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4.1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 w:rsidR="00E22883">
        <w:rPr>
          <w:rFonts w:ascii="Times New Roman" w:hAnsi="Times New Roman"/>
          <w:b/>
          <w:bCs/>
          <w:iCs/>
          <w:sz w:val="24"/>
          <w:szCs w:val="24"/>
        </w:rPr>
        <w:t>Объем дисциплины в зачетных единицах.</w:t>
      </w:r>
    </w:p>
    <w:p w:rsidR="00F37906" w:rsidRDefault="00E22883" w:rsidP="00F379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925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зачетных единицы, </w:t>
      </w:r>
      <w:r w:rsidR="00925D82">
        <w:rPr>
          <w:rFonts w:ascii="Times New Roman" w:hAnsi="Times New Roman"/>
          <w:sz w:val="24"/>
          <w:szCs w:val="24"/>
        </w:rPr>
        <w:t>72 часа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925D82">
        <w:rPr>
          <w:rFonts w:ascii="Times New Roman" w:hAnsi="Times New Roman"/>
          <w:sz w:val="24"/>
          <w:szCs w:val="24"/>
        </w:rPr>
        <w:t>очной форме</w:t>
      </w:r>
      <w:r>
        <w:rPr>
          <w:rFonts w:ascii="Times New Roman" w:hAnsi="Times New Roman"/>
          <w:sz w:val="24"/>
          <w:szCs w:val="24"/>
        </w:rPr>
        <w:t>, из них:</w:t>
      </w:r>
      <w:r w:rsidR="00F37906">
        <w:rPr>
          <w:rFonts w:ascii="Times New Roman" w:hAnsi="Times New Roman"/>
          <w:sz w:val="24"/>
          <w:szCs w:val="24"/>
        </w:rPr>
        <w:t xml:space="preserve"> </w:t>
      </w:r>
      <w:r w:rsidR="00BB75F0">
        <w:rPr>
          <w:rFonts w:ascii="Times New Roman" w:hAnsi="Times New Roman"/>
          <w:sz w:val="24"/>
          <w:szCs w:val="24"/>
        </w:rPr>
        <w:t>контактных- 3</w:t>
      </w:r>
      <w:r w:rsidR="00613537">
        <w:rPr>
          <w:rFonts w:ascii="Times New Roman" w:hAnsi="Times New Roman"/>
          <w:sz w:val="24"/>
          <w:szCs w:val="24"/>
        </w:rPr>
        <w:t xml:space="preserve">4 </w:t>
      </w:r>
      <w:r w:rsidR="00BB75F0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</w:t>
      </w:r>
      <w:r w:rsidR="00825042">
        <w:rPr>
          <w:rFonts w:ascii="Times New Roman" w:hAnsi="Times New Roman"/>
          <w:sz w:val="24"/>
          <w:szCs w:val="24"/>
        </w:rPr>
        <w:t>(32</w:t>
      </w:r>
      <w:r>
        <w:rPr>
          <w:rFonts w:ascii="Times New Roman" w:hAnsi="Times New Roman"/>
          <w:sz w:val="24"/>
          <w:szCs w:val="24"/>
        </w:rPr>
        <w:t xml:space="preserve"> </w:t>
      </w:r>
      <w:r w:rsidR="00F37906">
        <w:rPr>
          <w:rFonts w:ascii="Times New Roman" w:hAnsi="Times New Roman"/>
          <w:sz w:val="24"/>
          <w:szCs w:val="24"/>
        </w:rPr>
        <w:t xml:space="preserve">ч. - лекции и </w:t>
      </w:r>
      <w:r w:rsidR="00613537">
        <w:rPr>
          <w:rFonts w:ascii="Times New Roman" w:hAnsi="Times New Roman"/>
          <w:sz w:val="24"/>
          <w:szCs w:val="24"/>
        </w:rPr>
        <w:t xml:space="preserve">2 </w:t>
      </w:r>
      <w:r w:rsidR="00F37906">
        <w:rPr>
          <w:rFonts w:ascii="Times New Roman" w:hAnsi="Times New Roman"/>
          <w:sz w:val="24"/>
          <w:szCs w:val="24"/>
        </w:rPr>
        <w:t>ч. – семинары</w:t>
      </w:r>
      <w:r w:rsidR="00613537">
        <w:rPr>
          <w:rFonts w:ascii="Times New Roman" w:hAnsi="Times New Roman"/>
          <w:sz w:val="24"/>
          <w:szCs w:val="24"/>
        </w:rPr>
        <w:t>)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 w:rsidR="00613537">
        <w:rPr>
          <w:rFonts w:ascii="Times New Roman" w:hAnsi="Times New Roman"/>
          <w:sz w:val="24"/>
          <w:szCs w:val="24"/>
        </w:rPr>
        <w:t>СР</w:t>
      </w:r>
      <w:r w:rsidR="005677B4">
        <w:rPr>
          <w:rFonts w:ascii="Times New Roman" w:hAnsi="Times New Roman"/>
          <w:sz w:val="24"/>
          <w:szCs w:val="24"/>
        </w:rPr>
        <w:t>С</w:t>
      </w:r>
      <w:r w:rsidR="00613537">
        <w:rPr>
          <w:rFonts w:ascii="Times New Roman" w:hAnsi="Times New Roman"/>
          <w:sz w:val="24"/>
          <w:szCs w:val="24"/>
        </w:rPr>
        <w:t xml:space="preserve"> -</w:t>
      </w:r>
      <w:r w:rsidR="005677B4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 xml:space="preserve"> </w:t>
      </w:r>
      <w:r w:rsidR="00613537">
        <w:rPr>
          <w:rFonts w:ascii="Times New Roman" w:hAnsi="Times New Roman"/>
          <w:sz w:val="24"/>
          <w:szCs w:val="24"/>
        </w:rPr>
        <w:t>ч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форма контроля – зачет.</w:t>
      </w:r>
    </w:p>
    <w:p w:rsidR="00E22883" w:rsidRPr="005677B4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Дл</w:t>
      </w:r>
      <w:r w:rsidR="00F379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я студентов </w:t>
      </w:r>
      <w:r w:rsidR="005677B4" w:rsidRPr="005677B4">
        <w:rPr>
          <w:rFonts w:ascii="Times New Roman" w:hAnsi="Times New Roman"/>
          <w:sz w:val="24"/>
          <w:szCs w:val="24"/>
        </w:rPr>
        <w:t>заочной формы обучения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зачетных единицы, 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72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а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, из них: </w:t>
      </w:r>
      <w:r w:rsidR="00963E14">
        <w:rPr>
          <w:rFonts w:ascii="Times New Roman" w:hAnsi="Times New Roman"/>
          <w:sz w:val="24"/>
          <w:szCs w:val="24"/>
          <w:lang w:eastAsia="ru-RU"/>
        </w:rPr>
        <w:t>14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677B4">
        <w:rPr>
          <w:rFonts w:ascii="Times New Roman" w:hAnsi="Times New Roman"/>
          <w:sz w:val="24"/>
          <w:szCs w:val="24"/>
          <w:lang w:eastAsia="ru-RU"/>
        </w:rPr>
        <w:t>ч. лекции, СРС,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63E14">
        <w:rPr>
          <w:rFonts w:ascii="Times New Roman" w:hAnsi="Times New Roman"/>
          <w:sz w:val="24"/>
          <w:szCs w:val="24"/>
          <w:lang w:eastAsia="ru-RU"/>
        </w:rPr>
        <w:t>34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 ч., 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4ч. - контроль форма контроля - зачет.</w:t>
      </w:r>
    </w:p>
    <w:p w:rsidR="00E22883" w:rsidRDefault="005677B4" w:rsidP="005677B4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b/>
          <w:bCs/>
          <w:iCs/>
          <w:sz w:val="24"/>
          <w:szCs w:val="24"/>
        </w:rPr>
        <w:t xml:space="preserve">4.2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bookmarkEnd w:id="0"/>
      <w:bookmarkEnd w:id="1"/>
      <w:r>
        <w:rPr>
          <w:rFonts w:ascii="Times New Roman" w:hAnsi="Times New Roman"/>
          <w:b/>
          <w:bCs/>
          <w:iCs/>
          <w:sz w:val="24"/>
          <w:szCs w:val="24"/>
        </w:rPr>
        <w:t>Структура дисциплины для очной формы обучения</w:t>
      </w:r>
    </w:p>
    <w:p w:rsidR="005677B4" w:rsidRDefault="005677B4" w:rsidP="005677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88"/>
        <w:gridCol w:w="425"/>
        <w:gridCol w:w="709"/>
        <w:gridCol w:w="850"/>
        <w:gridCol w:w="779"/>
        <w:gridCol w:w="498"/>
        <w:gridCol w:w="2263"/>
      </w:tblGrid>
      <w:tr w:rsidR="005677B4" w:rsidTr="005677B4">
        <w:trPr>
          <w:trHeight w:val="159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6F615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77B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трудоемкость (в часах)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5677B4" w:rsidTr="006F6154">
        <w:trPr>
          <w:cantSplit/>
          <w:trHeight w:val="1387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7B4" w:rsidRDefault="006F6154" w:rsidP="006F615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677B4" w:rsidTr="005677B4">
        <w:trPr>
          <w:trHeight w:val="47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Доклад.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8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Опрос. Доклад. Круглый стол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</w:t>
            </w:r>
            <w:r w:rsidR="006F615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5677B4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для заочной формы обучения</w:t>
      </w:r>
    </w:p>
    <w:p w:rsidR="005677B4" w:rsidRDefault="005677B4" w:rsidP="00E22883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6"/>
        <w:gridCol w:w="426"/>
        <w:gridCol w:w="708"/>
        <w:gridCol w:w="993"/>
        <w:gridCol w:w="708"/>
        <w:gridCol w:w="567"/>
        <w:gridCol w:w="2379"/>
      </w:tblGrid>
      <w:tr w:rsidR="005677B4" w:rsidTr="006F6154">
        <w:trPr>
          <w:trHeight w:val="159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6F6154" w:rsidTr="006F6154">
        <w:trPr>
          <w:trHeight w:val="2214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63E14" w:rsidTr="001D5A7C">
        <w:trPr>
          <w:trHeight w:val="47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E14" w:rsidTr="001D5A7C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E14" w:rsidRDefault="00963E1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Доклад</w:t>
            </w:r>
          </w:p>
        </w:tc>
      </w:tr>
      <w:tr w:rsidR="00963E14" w:rsidTr="001D5A7C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14" w:rsidRDefault="00963E14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5FA2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963E14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lastRenderedPageBreak/>
        <w:t>4.3 Содержание разделов дисциплины</w:t>
      </w: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E22883" w:rsidP="00CE5C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1"/>
        <w:gridCol w:w="3628"/>
        <w:gridCol w:w="2066"/>
        <w:gridCol w:w="2996"/>
      </w:tblGrid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B4" w:rsidRPr="00CF1BE9" w:rsidRDefault="00274DB4" w:rsidP="00274DB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74DB4" w:rsidRPr="00CF1BE9" w:rsidRDefault="00274DB4" w:rsidP="00274DB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 опроса, в завершении изучения каждой темы..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9"/>
        <w:gridCol w:w="1820"/>
        <w:gridCol w:w="5796"/>
      </w:tblGrid>
      <w:tr w:rsidR="00E22883" w:rsidTr="00BB75F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ОПК-5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УК-2</w:t>
            </w:r>
            <w:r w:rsidR="004C541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ОПК-5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0"/>
      </w:tblGrid>
      <w:tr w:rsidR="00E22883" w:rsidTr="00CE5C35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22883" w:rsidTr="00CE5C35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2288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22883" w:rsidTr="00CE5C35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 </w:t>
      </w:r>
    </w:p>
    <w:p w:rsidR="00E22883" w:rsidRDefault="00E22883" w:rsidP="00CE5C35">
      <w:pPr>
        <w:pStyle w:val="TableParagraph"/>
        <w:spacing w:line="276" w:lineRule="auto"/>
        <w:ind w:left="112" w:right="141"/>
        <w:jc w:val="both"/>
        <w:rPr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lastRenderedPageBreak/>
        <w:t xml:space="preserve">Примеры оценочных средств, которые соответствуют </w:t>
      </w:r>
      <w:r>
        <w:rPr>
          <w:sz w:val="24"/>
          <w:szCs w:val="24"/>
          <w:lang w:eastAsia="ru-RU"/>
        </w:rPr>
        <w:t>УК-</w:t>
      </w:r>
      <w:r w:rsidR="002561C3">
        <w:rPr>
          <w:sz w:val="24"/>
          <w:szCs w:val="24"/>
          <w:lang w:eastAsia="ru-RU"/>
        </w:rPr>
        <w:t>10</w:t>
      </w:r>
      <w:r>
        <w:rPr>
          <w:i/>
          <w:sz w:val="24"/>
          <w:szCs w:val="24"/>
          <w:lang w:eastAsia="ru-RU"/>
        </w:rPr>
        <w:t xml:space="preserve"> -  </w:t>
      </w:r>
      <w:r w:rsidR="002561C3">
        <w:t>Способен формировать нетерпимое отношение к коррупционному поведению</w:t>
      </w:r>
      <w:r w:rsidR="00CE5C35" w:rsidRPr="00BF7F64">
        <w:rPr>
          <w:sz w:val="24"/>
          <w:szCs w:val="24"/>
        </w:rPr>
        <w:t>.</w:t>
      </w:r>
      <w:r w:rsidR="002561C3">
        <w:rPr>
          <w:sz w:val="24"/>
          <w:szCs w:val="24"/>
        </w:rPr>
        <w:t xml:space="preserve"> ОПК-5 - 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E22883" w:rsidRDefault="00E22883" w:rsidP="00CF5E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4DB4" w:rsidRPr="00CF1BE9" w:rsidRDefault="00274DB4" w:rsidP="002561C3">
      <w:pPr>
        <w:pStyle w:val="TableParagraph"/>
        <w:spacing w:line="276" w:lineRule="auto"/>
        <w:ind w:left="112" w:right="141"/>
        <w:jc w:val="both"/>
        <w:rPr>
          <w:iCs/>
          <w:sz w:val="24"/>
          <w:szCs w:val="24"/>
          <w:lang w:eastAsia="ru-RU"/>
        </w:rPr>
      </w:pPr>
      <w:r w:rsidRPr="00CF1BE9">
        <w:rPr>
          <w:iCs/>
          <w:sz w:val="24"/>
          <w:szCs w:val="24"/>
          <w:lang w:eastAsia="ru-RU"/>
        </w:rPr>
        <w:t xml:space="preserve">Указанные оценочные средства проверяют сформированность компетенции </w:t>
      </w:r>
      <w:r w:rsidR="002561C3">
        <w:rPr>
          <w:sz w:val="24"/>
          <w:szCs w:val="24"/>
          <w:lang w:eastAsia="ru-RU"/>
        </w:rPr>
        <w:t>УК-10 (</w:t>
      </w:r>
      <w:r w:rsidR="002561C3">
        <w:t>Способен формировать нетерпимое отношение к коррупционному поведению),</w:t>
      </w:r>
      <w:r w:rsidR="002561C3">
        <w:rPr>
          <w:sz w:val="24"/>
          <w:szCs w:val="24"/>
        </w:rPr>
        <w:t xml:space="preserve"> ОПК-5 (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  <w:r w:rsidR="00CF5E3D">
        <w:rPr>
          <w:sz w:val="24"/>
          <w:szCs w:val="24"/>
        </w:rPr>
        <w:t>)</w:t>
      </w:r>
      <w:r w:rsidRPr="00CF1BE9">
        <w:rPr>
          <w:iCs/>
          <w:sz w:val="24"/>
          <w:szCs w:val="24"/>
          <w:lang w:eastAsia="ru-RU"/>
        </w:rPr>
        <w:t xml:space="preserve"> в соответствии с ее компонентами «знать», «уметь», «владеть».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2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2"/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rStyle w:val="a3"/>
            <w:sz w:val="24"/>
            <w:szCs w:val="24"/>
          </w:rPr>
          <w:t>www.e.lanbook.com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rStyle w:val="a3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rStyle w:val="a3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Pr="00027D16" w:rsidRDefault="00027D16" w:rsidP="00027D1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22883"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lastRenderedPageBreak/>
        <w:t>План семинарских занятий по теме: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027D16" w:rsidRDefault="00027D16" w:rsidP="004C54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027D16" w:rsidRPr="00712FE4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/>
          <w:iCs/>
          <w:sz w:val="24"/>
          <w:szCs w:val="24"/>
          <w:lang w:eastAsia="ru-RU"/>
        </w:rPr>
        <w:t>Список литературы: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1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Pr="00CF1BE9" w:rsidRDefault="00027D16" w:rsidP="00027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D16" w:rsidRPr="00CF1BE9" w:rsidRDefault="00027D16" w:rsidP="00027D1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027D16" w:rsidRDefault="00027D16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E22883" w:rsidRDefault="00E22883" w:rsidP="00274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дисциплине</w:t>
      </w:r>
      <w:r w:rsidR="00274DB4">
        <w:rPr>
          <w:rFonts w:ascii="Times New Roman" w:hAnsi="Times New Roman"/>
          <w:sz w:val="24"/>
          <w:szCs w:val="24"/>
        </w:rPr>
        <w:t xml:space="preserve"> «</w:t>
      </w:r>
      <w:r w:rsidR="00274DB4" w:rsidRPr="00274DB4">
        <w:rPr>
          <w:rFonts w:ascii="Times New Roman" w:eastAsia="Times New Roman" w:hAnsi="Times New Roman"/>
          <w:sz w:val="24"/>
          <w:szCs w:val="24"/>
          <w:lang w:eastAsia="ru-RU"/>
        </w:rPr>
        <w:t>Основы права и государственной культурной политики Российской Федерации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обеспечивает: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noBreakHyphen/>
        <w:t> формирование навыков работы с научной литературой, информационными ресурсами Интернет.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самостоятельной работы: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ознакомление и работа с ЭБС, с которыми у ИБЦ МГИК заключены договоры;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самостоятельной презентации;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7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E22883" w:rsidRDefault="00E22883" w:rsidP="00E22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E22883" w:rsidRDefault="00E22883" w:rsidP="00E22883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Название проекта, цель, задачи, синтез форм, средства, методы, содержание, ожидаемый результат проекта.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E22883" w:rsidRPr="00027D16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 (круглого стола)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выяснение однозначности понимания темы дискуссии, используемых в ней терминов, понятий.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22883" w:rsidRDefault="00E22883" w:rsidP="00E22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занятий используется 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>аудитории лекционного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2883" w:rsidRDefault="00E22883" w:rsidP="00E22883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741"/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5"/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6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слепых и слабовидящих: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PAC Mate 20;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85CB6" w:rsidRDefault="00085CB6" w:rsidP="00E2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CB6" w:rsidRDefault="00085CB6" w:rsidP="00E2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CB6" w:rsidRDefault="00085CB6" w:rsidP="00E2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Pr="00621727" w:rsidRDefault="00E22883" w:rsidP="00E2288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GoBack"/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2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845" w:rsidRDefault="00F03845" w:rsidP="00E22883">
      <w:pPr>
        <w:spacing w:after="0" w:line="240" w:lineRule="auto"/>
      </w:pPr>
      <w:r>
        <w:separator/>
      </w:r>
    </w:p>
  </w:endnote>
  <w:endnote w:type="continuationSeparator" w:id="0">
    <w:p w:rsidR="00F03845" w:rsidRDefault="00F03845" w:rsidP="00E2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845" w:rsidRDefault="00F03845" w:rsidP="00E22883">
      <w:pPr>
        <w:spacing w:after="0" w:line="240" w:lineRule="auto"/>
      </w:pPr>
      <w:r>
        <w:separator/>
      </w:r>
    </w:p>
  </w:footnote>
  <w:footnote w:type="continuationSeparator" w:id="0">
    <w:p w:rsidR="00F03845" w:rsidRDefault="00F03845" w:rsidP="00E2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E"/>
    <w:rsid w:val="00005194"/>
    <w:rsid w:val="00027D16"/>
    <w:rsid w:val="00085CB6"/>
    <w:rsid w:val="0008623A"/>
    <w:rsid w:val="00176F54"/>
    <w:rsid w:val="001C5FA2"/>
    <w:rsid w:val="001D5874"/>
    <w:rsid w:val="001E4555"/>
    <w:rsid w:val="002402DF"/>
    <w:rsid w:val="002561C3"/>
    <w:rsid w:val="00274DB4"/>
    <w:rsid w:val="002A7CAB"/>
    <w:rsid w:val="002D7ED9"/>
    <w:rsid w:val="00402D53"/>
    <w:rsid w:val="004342C9"/>
    <w:rsid w:val="00467C7A"/>
    <w:rsid w:val="004915CB"/>
    <w:rsid w:val="004958F8"/>
    <w:rsid w:val="004C5418"/>
    <w:rsid w:val="004F3D6D"/>
    <w:rsid w:val="005041AB"/>
    <w:rsid w:val="005677B4"/>
    <w:rsid w:val="00613537"/>
    <w:rsid w:val="006D241E"/>
    <w:rsid w:val="006F6154"/>
    <w:rsid w:val="00715E41"/>
    <w:rsid w:val="00772354"/>
    <w:rsid w:val="00825042"/>
    <w:rsid w:val="008906F1"/>
    <w:rsid w:val="008D0BFD"/>
    <w:rsid w:val="00925D82"/>
    <w:rsid w:val="00963E14"/>
    <w:rsid w:val="009E4E68"/>
    <w:rsid w:val="009E5408"/>
    <w:rsid w:val="00A32771"/>
    <w:rsid w:val="00A43619"/>
    <w:rsid w:val="00A573EA"/>
    <w:rsid w:val="00AC3DBE"/>
    <w:rsid w:val="00AD69DB"/>
    <w:rsid w:val="00B3501A"/>
    <w:rsid w:val="00B91534"/>
    <w:rsid w:val="00BB75F0"/>
    <w:rsid w:val="00BC04DE"/>
    <w:rsid w:val="00CC0B7A"/>
    <w:rsid w:val="00CE5C35"/>
    <w:rsid w:val="00CF5E3D"/>
    <w:rsid w:val="00D019FF"/>
    <w:rsid w:val="00D6402B"/>
    <w:rsid w:val="00DF293E"/>
    <w:rsid w:val="00E22883"/>
    <w:rsid w:val="00E24BF8"/>
    <w:rsid w:val="00E650D4"/>
    <w:rsid w:val="00E80FAE"/>
    <w:rsid w:val="00EA696E"/>
    <w:rsid w:val="00F03845"/>
    <w:rsid w:val="00F055CC"/>
    <w:rsid w:val="00F37906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5D20"/>
  <w15:docId w15:val="{D6713455-0F02-475D-A579-EB9BF21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8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2288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28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E228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28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883"/>
    <w:rPr>
      <w:sz w:val="20"/>
      <w:szCs w:val="20"/>
    </w:rPr>
  </w:style>
  <w:style w:type="paragraph" w:styleId="a7">
    <w:name w:val="caption"/>
    <w:basedOn w:val="a"/>
    <w:next w:val="a"/>
    <w:uiPriority w:val="99"/>
    <w:semiHidden/>
    <w:unhideWhenUsed/>
    <w:qFormat/>
    <w:rsid w:val="00E22883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  <w:style w:type="paragraph" w:styleId="a8">
    <w:name w:val="Body Text"/>
    <w:basedOn w:val="a"/>
    <w:link w:val="a9"/>
    <w:uiPriority w:val="99"/>
    <w:semiHidden/>
    <w:unhideWhenUsed/>
    <w:rsid w:val="00E2288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88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E22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2883"/>
    <w:rPr>
      <w:rFonts w:ascii="Calibri" w:eastAsia="Calibri" w:hAnsi="Calibri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E22883"/>
    <w:pPr>
      <w:ind w:left="720"/>
      <w:contextualSpacing/>
    </w:pPr>
  </w:style>
  <w:style w:type="paragraph" w:customStyle="1" w:styleId="ab">
    <w:name w:val="список с точками"/>
    <w:basedOn w:val="a"/>
    <w:uiPriority w:val="99"/>
    <w:rsid w:val="00E2288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Таблица Знак"/>
    <w:link w:val="ad"/>
    <w:locked/>
    <w:rsid w:val="00E22883"/>
    <w:rPr>
      <w:rFonts w:ascii="Times New Roman" w:eastAsia="Calibri" w:hAnsi="Times New Roman" w:cs="Times New Roman"/>
      <w:kern w:val="28"/>
    </w:rPr>
  </w:style>
  <w:style w:type="paragraph" w:customStyle="1" w:styleId="ad">
    <w:name w:val="Таблица"/>
    <w:basedOn w:val="a"/>
    <w:link w:val="ac"/>
    <w:qFormat/>
    <w:rsid w:val="00E22883"/>
    <w:pPr>
      <w:spacing w:after="0" w:line="240" w:lineRule="auto"/>
    </w:pPr>
    <w:rPr>
      <w:rFonts w:ascii="Times New Roman" w:hAnsi="Times New Roman"/>
      <w:kern w:val="28"/>
    </w:rPr>
  </w:style>
  <w:style w:type="character" w:styleId="ae">
    <w:name w:val="footnote reference"/>
    <w:semiHidden/>
    <w:unhideWhenUsed/>
    <w:rsid w:val="00E22883"/>
    <w:rPr>
      <w:vertAlign w:val="superscript"/>
    </w:rPr>
  </w:style>
  <w:style w:type="table" w:styleId="af">
    <w:name w:val="Table Grid"/>
    <w:basedOn w:val="a1"/>
    <w:rsid w:val="00E228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25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5E3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1"/>
    <w:qFormat/>
    <w:rsid w:val="00CF5E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qFormat/>
    <w:rsid w:val="002561C3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z.ru/index.php?ds=126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7014</Words>
  <Characters>39982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Станиславовна Клюева</cp:lastModifiedBy>
  <cp:revision>5</cp:revision>
  <dcterms:created xsi:type="dcterms:W3CDTF">2022-01-14T13:02:00Z</dcterms:created>
  <dcterms:modified xsi:type="dcterms:W3CDTF">2022-11-15T07:13:00Z</dcterms:modified>
</cp:coreProperties>
</file>